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A3" w:rsidRDefault="005B7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5B70A3">
        <w:tc>
          <w:tcPr>
            <w:tcW w:w="283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гуманитарных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наук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</w:t>
            </w:r>
          </w:p>
        </w:tc>
      </w:tr>
      <w:tr w:rsidR="005B70A3">
        <w:tc>
          <w:tcPr>
            <w:tcW w:w="283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 0,5 FTE</w:t>
            </w:r>
          </w:p>
        </w:tc>
      </w:tr>
      <w:tr w:rsidR="005B70A3">
        <w:tc>
          <w:tcPr>
            <w:tcW w:w="283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  <w:r>
              <w:rPr>
                <w:rFonts w:ascii="Anta" w:eastAsia="Anta" w:hAnsi="Anta" w:cs="Anta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тематика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научной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преподавательской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</w:p>
        </w:tc>
        <w:tc>
          <w:tcPr>
            <w:tcW w:w="7425" w:type="dxa"/>
            <w:shd w:val="clear" w:color="auto" w:fill="auto"/>
          </w:tcPr>
          <w:p w:rsidR="005B70A3" w:rsidRDefault="005B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B70A3" w:rsidRDefault="00AF7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Театральное искусство, театроведение, история и теория театра</w:t>
            </w:r>
          </w:p>
        </w:tc>
      </w:tr>
      <w:tr w:rsidR="005B70A3">
        <w:trPr>
          <w:trHeight w:val="1412"/>
        </w:trPr>
        <w:tc>
          <w:tcPr>
            <w:tcW w:w="283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университетские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5B70A3" w:rsidRDefault="00AF78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преподавателям и научным сотрудникам Европейского Гуманитарного Униве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сотрудников» Приказ № 01-45 от 2021-06-02)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B70A3" w:rsidRDefault="00AF78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Язык преподавания: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русский, английский.</w:t>
            </w:r>
          </w:p>
          <w:p w:rsidR="005B70A3" w:rsidRDefault="00AF78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Расположение рабочего места – Литва.</w:t>
            </w:r>
          </w:p>
          <w:p w:rsidR="005B70A3" w:rsidRDefault="00AF78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Список научных публикаций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творческих достижений.</w:t>
            </w:r>
          </w:p>
        </w:tc>
      </w:tr>
      <w:tr w:rsidR="005B70A3">
        <w:tc>
          <w:tcPr>
            <w:tcW w:w="283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5B70A3" w:rsidRDefault="00AF780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преподавания в иностранных университетах.</w:t>
            </w:r>
          </w:p>
          <w:p w:rsidR="005B70A3" w:rsidRDefault="00AF780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реализации и организации международных творческих проектов и публичных лекций.</w:t>
            </w:r>
          </w:p>
          <w:p w:rsidR="005B70A3" w:rsidRDefault="00AF780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международных научных стажировках/программах обмена</w:t>
            </w:r>
          </w:p>
          <w:p w:rsidR="005B70A3" w:rsidRDefault="00AF780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редакционно-издательской деятельности.</w:t>
            </w:r>
          </w:p>
        </w:tc>
      </w:tr>
      <w:tr w:rsidR="005B70A3">
        <w:trPr>
          <w:trHeight w:val="323"/>
        </w:trPr>
        <w:tc>
          <w:tcPr>
            <w:tcW w:w="283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5B70A3" w:rsidRDefault="00AF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(желательно), знание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беларуского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польского языка.</w:t>
            </w:r>
          </w:p>
        </w:tc>
      </w:tr>
      <w:tr w:rsidR="005B70A3">
        <w:tc>
          <w:tcPr>
            <w:tcW w:w="2835" w:type="dxa"/>
            <w:shd w:val="clear" w:color="auto" w:fill="auto"/>
          </w:tcPr>
          <w:p w:rsidR="005B70A3" w:rsidRDefault="00AF780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обязанности</w:t>
            </w:r>
          </w:p>
          <w:p w:rsidR="005B70A3" w:rsidRDefault="005B70A3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5B70A3" w:rsidRDefault="00AF7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1/2 штатной нагрузки – 765 часов. 400 часов составляют часы контактной и бесконтактной работы со студентами. 365 часов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отводятся на осуществление творческой художественной 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 связанной с направлением программы “Театральное искусство и актерская 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гра”,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экспериментального развития (социального, культурного), публикация результатов такой деятель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ности, а также методическая работа, повышение квалификации и организационная деятельность. </w:t>
            </w:r>
          </w:p>
          <w:p w:rsidR="005B70A3" w:rsidRDefault="00AF7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eading=h.1jmwv6k63m9j" w:colFirst="0" w:colLast="0"/>
            <w:bookmarkEnd w:id="3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95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преподавателям и научным сотрудникам Европейского Гуманитарного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сотрудников» Приказ № 01-45 от 2021-06-02)</w:t>
            </w:r>
          </w:p>
          <w:p w:rsidR="005B70A3" w:rsidRDefault="00AF7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_heading=h.jfnwle6o3kmy" w:colFirst="0" w:colLast="0"/>
            <w:bookmarkEnd w:id="4"/>
            <w:r>
              <w:rPr>
                <w:rFonts w:ascii="Times New Roman" w:eastAsia="Times New Roman" w:hAnsi="Times New Roman"/>
                <w:sz w:val="24"/>
                <w:szCs w:val="24"/>
              </w:rPr>
              <w:t>https://ru.ehu.lt/wp-content/uploads/2021/06/01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-45_Poryadok_min_kvalif_treb_konkursyi_atestatsii_2021-_RU-2.pdf</w:t>
            </w:r>
          </w:p>
          <w:p w:rsidR="005B70A3" w:rsidRDefault="00AF7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Способность разрабатывать, реализовывать и совершенствовать образовательные программы на разных уровнях (бакалаврском, магистерском), инициировать научные и творческие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проекты ЕГУ, курироват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работу департамента и междисциплинарные исследования. </w:t>
            </w:r>
          </w:p>
          <w:p w:rsidR="005B70A3" w:rsidRDefault="00AF7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nta" w:eastAsia="Anta" w:hAnsi="Anta" w:cs="Ant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Руководить обучением, художественным творчеством и научными исследованиями бакалавров.</w:t>
            </w:r>
          </w:p>
        </w:tc>
      </w:tr>
    </w:tbl>
    <w:p w:rsidR="005B70A3" w:rsidRDefault="005B70A3"/>
    <w:sectPr w:rsidR="005B70A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CB4"/>
    <w:multiLevelType w:val="multilevel"/>
    <w:tmpl w:val="5E36D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E32312"/>
    <w:multiLevelType w:val="multilevel"/>
    <w:tmpl w:val="4ACE4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7A2E"/>
    <w:multiLevelType w:val="multilevel"/>
    <w:tmpl w:val="F21CB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70A3"/>
    <w:rsid w:val="005B70A3"/>
    <w:rsid w:val="00A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mhVPislNBvC/brHIZ3GdQZxnA==">CgMxLjAyCWguMzBqMHpsbDIIaC5namRneHMyDmguMWptd3Y2azYzbTlqMg5oLmpmbndsZTZvM2tteTgAciExeXNBM3NBdUxic25HNVpRWmNhazF2Szl2NnkxZHZWSzM=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2024-05-02T12:34:00Z</dcterms:created>
  <dcterms:modified xsi:type="dcterms:W3CDTF">2024-05-02T12:34:00Z</dcterms:modified>
</cp:coreProperties>
</file>